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3C41" w:rsidRPr="009E3C41" w:rsidRDefault="009E3C41" w:rsidP="009E3C41">
      <w:pPr>
        <w:pStyle w:val="Header"/>
        <w:pBdr>
          <w:bottom w:val="single" w:sz="4" w:space="1" w:color="auto"/>
        </w:pBdr>
        <w:tabs>
          <w:tab w:val="right" w:pos="9638"/>
        </w:tabs>
        <w:spacing w:after="0"/>
        <w:ind w:right="-57"/>
        <w:rPr>
          <w:rFonts w:ascii="Arial" w:eastAsia="Arial Unicode MS" w:hAnsi="Arial" w:cs="Arial"/>
          <w:b/>
          <w:bCs/>
          <w:sz w:val="24"/>
        </w:rPr>
      </w:pPr>
      <w:r w:rsidRPr="009E3C41">
        <w:rPr>
          <w:rFonts w:ascii="Arial" w:eastAsia="Arial Unicode MS" w:hAnsi="Arial" w:cs="Arial"/>
          <w:b/>
          <w:bCs/>
          <w:sz w:val="24"/>
        </w:rPr>
        <w:t>3GPP TSG-SA WG2 Meeting #145E e-meeting</w:t>
      </w:r>
      <w:r w:rsidRPr="009E3C41">
        <w:rPr>
          <w:rFonts w:ascii="Arial" w:eastAsia="Arial Unicode MS" w:hAnsi="Arial" w:cs="Arial"/>
          <w:b/>
          <w:bCs/>
          <w:sz w:val="24"/>
        </w:rPr>
        <w:tab/>
      </w:r>
      <w:r>
        <w:rPr>
          <w:rFonts w:ascii="Arial" w:eastAsia="Arial Unicode MS" w:hAnsi="Arial" w:cs="Arial"/>
          <w:b/>
          <w:bCs/>
          <w:sz w:val="24"/>
        </w:rPr>
        <w:tab/>
      </w:r>
      <w:r w:rsidRPr="009E3C41">
        <w:rPr>
          <w:rFonts w:ascii="Arial" w:eastAsia="Arial Unicode MS" w:hAnsi="Arial" w:cs="Arial"/>
          <w:b/>
          <w:bCs/>
          <w:sz w:val="24"/>
        </w:rPr>
        <w:t>S2-210</w:t>
      </w:r>
      <w:r w:rsidR="00551721">
        <w:rPr>
          <w:rFonts w:ascii="Arial" w:eastAsia="Arial Unicode MS" w:hAnsi="Arial" w:cs="Arial"/>
          <w:b/>
          <w:bCs/>
          <w:sz w:val="24"/>
        </w:rPr>
        <w:t>4639</w:t>
      </w:r>
    </w:p>
    <w:p w:rsidR="003644E3" w:rsidRDefault="009E3C41" w:rsidP="009E3C4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E3C41">
        <w:rPr>
          <w:rFonts w:ascii="Arial" w:eastAsia="Arial Unicode MS" w:hAnsi="Arial" w:cs="Arial"/>
          <w:b/>
          <w:bCs/>
          <w:sz w:val="24"/>
        </w:rPr>
        <w:t>Elbonia, 17 – 28 May 2021</w:t>
      </w:r>
      <w:r w:rsidR="003644E3">
        <w:rPr>
          <w:rFonts w:ascii="Arial" w:eastAsia="Arial Unicode MS" w:hAnsi="Arial" w:cs="Arial"/>
          <w:b/>
          <w:bCs/>
        </w:rPr>
        <w:tab/>
      </w:r>
      <w:r w:rsidR="002A7266" w:rsidRPr="00C939A8">
        <w:rPr>
          <w:rFonts w:ascii="Arial" w:hAnsi="Arial" w:cs="Arial"/>
          <w:b/>
          <w:bCs/>
          <w:color w:val="FFFFFF" w:themeColor="background1"/>
        </w:rPr>
        <w:t>(revision of S2-21</w:t>
      </w:r>
      <w:r w:rsidR="003644E3" w:rsidRPr="00C939A8">
        <w:rPr>
          <w:rFonts w:ascii="Arial" w:hAnsi="Arial" w:cs="Arial"/>
          <w:b/>
          <w:bCs/>
          <w:color w:val="FFFFFF" w:themeColor="background1"/>
        </w:rPr>
        <w:t>0xxxx)</w:t>
      </w:r>
    </w:p>
    <w:p w:rsidR="00A24F28" w:rsidRPr="003644E3" w:rsidRDefault="00A24F28" w:rsidP="00A24F28">
      <w:pPr>
        <w:rPr>
          <w:rFonts w:ascii="Arial" w:hAnsi="Arial" w:cs="Arial"/>
        </w:rPr>
      </w:pPr>
    </w:p>
    <w:p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22711B" w:rsidRPr="00123AE8" w:rsidRDefault="00A24F28" w:rsidP="00A24F28">
      <w:pPr>
        <w:ind w:left="2127" w:hanging="2127"/>
        <w:rPr>
          <w:rFonts w:ascii="Arial" w:hAnsi="Arial" w:cs="Arial"/>
          <w:b/>
        </w:rPr>
      </w:pPr>
      <w:r w:rsidRPr="00123AE8">
        <w:rPr>
          <w:rFonts w:ascii="Arial" w:hAnsi="Arial" w:cs="Arial"/>
          <w:b/>
        </w:rPr>
        <w:t>Title:</w:t>
      </w:r>
      <w:r w:rsidRPr="00123AE8">
        <w:rPr>
          <w:rFonts w:ascii="Arial" w:hAnsi="Arial" w:cs="Arial"/>
          <w:b/>
        </w:rPr>
        <w:tab/>
      </w:r>
      <w:r w:rsidR="009E3C41">
        <w:rPr>
          <w:rFonts w:ascii="Arial" w:hAnsi="Arial" w:cs="Arial"/>
          <w:b/>
        </w:rPr>
        <w:t>KI#6: Regarding the handling of UEs not supporting Simultaneous Network Slice Registration Groups</w:t>
      </w:r>
    </w:p>
    <w:p w:rsidR="00A24F28" w:rsidRPr="00123AE8" w:rsidRDefault="002A3C41" w:rsidP="00A24F28">
      <w:pPr>
        <w:ind w:left="2127" w:hanging="2127"/>
        <w:rPr>
          <w:rFonts w:ascii="Arial" w:hAnsi="Arial" w:cs="Arial"/>
          <w:b/>
        </w:rPr>
      </w:pPr>
      <w:r w:rsidRPr="00123AE8">
        <w:rPr>
          <w:rFonts w:ascii="Arial" w:hAnsi="Arial" w:cs="Arial"/>
          <w:b/>
        </w:rPr>
        <w:t>Document for:</w:t>
      </w:r>
      <w:r w:rsidRPr="00123AE8">
        <w:rPr>
          <w:rFonts w:ascii="Arial" w:hAnsi="Arial" w:cs="Arial"/>
          <w:b/>
        </w:rPr>
        <w:tab/>
      </w:r>
      <w:r w:rsidR="00B4739E" w:rsidRPr="00123AE8">
        <w:rPr>
          <w:rFonts w:ascii="Arial" w:hAnsi="Arial" w:cs="Arial"/>
          <w:b/>
        </w:rPr>
        <w:t>Discussion</w:t>
      </w:r>
      <w:r w:rsidR="00C61B3A" w:rsidRPr="00123AE8">
        <w:rPr>
          <w:rFonts w:ascii="Arial" w:hAnsi="Arial" w:cs="Arial"/>
          <w:b/>
        </w:rPr>
        <w:t xml:space="preserve"> </w:t>
      </w:r>
    </w:p>
    <w:p w:rsidR="00A24F28" w:rsidRPr="00123AE8" w:rsidRDefault="00E2205A" w:rsidP="00A24F28">
      <w:pPr>
        <w:ind w:left="2127" w:hanging="2127"/>
        <w:rPr>
          <w:rFonts w:ascii="Arial" w:hAnsi="Arial" w:cs="Arial"/>
          <w:b/>
        </w:rPr>
      </w:pPr>
      <w:r w:rsidRPr="00123AE8">
        <w:rPr>
          <w:rFonts w:ascii="Arial" w:hAnsi="Arial" w:cs="Arial"/>
          <w:b/>
        </w:rPr>
        <w:t>Agenda Item:</w:t>
      </w:r>
      <w:r w:rsidRPr="00123AE8">
        <w:rPr>
          <w:rFonts w:ascii="Arial" w:hAnsi="Arial" w:cs="Arial"/>
          <w:b/>
        </w:rPr>
        <w:tab/>
      </w:r>
      <w:r w:rsidR="00C939A8">
        <w:rPr>
          <w:rFonts w:ascii="Arial" w:hAnsi="Arial" w:cs="Arial"/>
          <w:b/>
        </w:rPr>
        <w:t>8.4</w:t>
      </w:r>
    </w:p>
    <w:p w:rsidR="00A24F28" w:rsidRPr="00927C1B" w:rsidRDefault="00A24F28" w:rsidP="00A24F28">
      <w:pPr>
        <w:ind w:left="2127" w:hanging="2127"/>
        <w:rPr>
          <w:rFonts w:ascii="Arial" w:hAnsi="Arial" w:cs="Arial"/>
          <w:b/>
        </w:rPr>
      </w:pPr>
      <w:r w:rsidRPr="00123AE8">
        <w:rPr>
          <w:rFonts w:ascii="Arial" w:hAnsi="Arial" w:cs="Arial"/>
          <w:b/>
        </w:rPr>
        <w:t>Work Item / Release:</w:t>
      </w:r>
      <w:r w:rsidRPr="00123AE8">
        <w:rPr>
          <w:rFonts w:ascii="Arial" w:hAnsi="Arial" w:cs="Arial"/>
          <w:b/>
        </w:rPr>
        <w:tab/>
      </w:r>
      <w:r w:rsidR="0065488E">
        <w:rPr>
          <w:rFonts w:ascii="Arial" w:hAnsi="Arial" w:cs="Arial"/>
          <w:b/>
        </w:rPr>
        <w:t>eNS_ph2</w:t>
      </w:r>
      <w:r w:rsidR="0053243A">
        <w:rPr>
          <w:rFonts w:ascii="Arial" w:hAnsi="Arial" w:cs="Arial"/>
          <w:b/>
        </w:rPr>
        <w:t>/Release 17</w:t>
      </w:r>
    </w:p>
    <w:p w:rsidR="00EF48DB" w:rsidRPr="00927C1B" w:rsidRDefault="00A24F28" w:rsidP="00EC53AC">
      <w:pPr>
        <w:jc w:val="both"/>
        <w:rPr>
          <w:rFonts w:ascii="Arial" w:hAnsi="Arial" w:cs="Arial"/>
          <w:i/>
        </w:rPr>
      </w:pPr>
      <w:r w:rsidRPr="00927C1B">
        <w:rPr>
          <w:rFonts w:ascii="Arial" w:hAnsi="Arial" w:cs="Arial"/>
          <w:i/>
        </w:rPr>
        <w:t xml:space="preserve">Abstract: </w:t>
      </w:r>
      <w:r w:rsidR="00AB1E1A">
        <w:rPr>
          <w:rFonts w:ascii="Arial" w:hAnsi="Arial" w:cs="Arial"/>
          <w:i/>
        </w:rPr>
        <w:t xml:space="preserve">This </w:t>
      </w:r>
      <w:r w:rsidR="00B064D7">
        <w:rPr>
          <w:rFonts w:ascii="Arial" w:hAnsi="Arial" w:cs="Arial"/>
          <w:i/>
        </w:rPr>
        <w:t>contribution</w:t>
      </w:r>
      <w:r w:rsidR="00AB1E1A">
        <w:rPr>
          <w:rFonts w:ascii="Arial" w:hAnsi="Arial" w:cs="Arial"/>
          <w:i/>
        </w:rPr>
        <w:t xml:space="preserve"> </w:t>
      </w:r>
      <w:r w:rsidR="009E3C41">
        <w:rPr>
          <w:rFonts w:ascii="Arial" w:hAnsi="Arial" w:cs="Arial"/>
          <w:i/>
        </w:rPr>
        <w:t>describes the issue regarding the handling of UEs not supporting Simultaneous Network Slice Registration Groups, and why operators should be given the choice regarding how to handle such case.</w:t>
      </w:r>
    </w:p>
    <w:p w:rsidR="00A93620" w:rsidRDefault="00060F17" w:rsidP="00D151F9">
      <w:pPr>
        <w:pStyle w:val="Heading1"/>
        <w:numPr>
          <w:ilvl w:val="0"/>
          <w:numId w:val="21"/>
        </w:numPr>
      </w:pPr>
      <w:r>
        <w:t>Discussion</w:t>
      </w:r>
    </w:p>
    <w:p w:rsidR="009E3C41" w:rsidRDefault="009E3C41" w:rsidP="009E3C41">
      <w:r>
        <w:t>After a long discussion</w:t>
      </w:r>
      <w:r w:rsidR="00AF499C">
        <w:t xml:space="preserve"> in SA2#144e</w:t>
      </w:r>
      <w:r>
        <w:t xml:space="preserve"> that led to convergence on the solution for KI#6 for most aspects, one aspect still remain</w:t>
      </w:r>
      <w:r w:rsidR="00AF499C">
        <w:t>s</w:t>
      </w:r>
      <w:r>
        <w:t xml:space="preserve"> unresolved: the handling of UEs not supporting </w:t>
      </w:r>
      <w:r w:rsidR="00EB67D9">
        <w:t>Simultaneous Network Slice Registration Group (</w:t>
      </w:r>
      <w:r>
        <w:t>SNSRG</w:t>
      </w:r>
      <w:r w:rsidR="00EB67D9">
        <w:t xml:space="preserve">), where Nokia's proposal (S2-2102773r1) </w:t>
      </w:r>
      <w:r>
        <w:t xml:space="preserve">has been proposing to only provide a single subset of subscribed S-NSSAIs to the UE, whereas Huawei was proposing </w:t>
      </w:r>
      <w:r w:rsidR="00EB67D9">
        <w:t xml:space="preserve">(S2-2102773r5) </w:t>
      </w:r>
      <w:r>
        <w:t xml:space="preserve">to provide all subscribed S-NSSAIs as for Rel-15/16. After further discussion, Huawei proposed </w:t>
      </w:r>
      <w:r w:rsidR="00EB67D9">
        <w:t xml:space="preserve">(S2-2102773r7) </w:t>
      </w:r>
      <w:r>
        <w:t>to integrate in the solution the ability for the HPLMN operator to select what to do, on a per UE basis.</w:t>
      </w:r>
    </w:p>
    <w:p w:rsidR="00EB67D9" w:rsidRDefault="00EB67D9" w:rsidP="009E3C41">
      <w:r>
        <w:t>For the purpose of the discussion, let's take the simplest example. Of course, there could be more network slices and more SNSRGs, in which case, the issue becomes even more acute.</w:t>
      </w:r>
    </w:p>
    <w:p w:rsidR="00EB67D9" w:rsidRDefault="00EB67D9" w:rsidP="009E3C41">
      <w:r>
        <w:t xml:space="preserve">Here we will describe the following scenario: </w:t>
      </w:r>
    </w:p>
    <w:p w:rsidR="00EB67D9" w:rsidRDefault="00EB67D9" w:rsidP="00EB67D9">
      <w:pPr>
        <w:pStyle w:val="B1"/>
      </w:pPr>
      <w:r>
        <w:t>-</w:t>
      </w:r>
      <w:r>
        <w:tab/>
      </w:r>
      <w:r w:rsidRPr="00EB67D9">
        <w:rPr>
          <w:rFonts w:hint="eastAsia"/>
        </w:rPr>
        <w:t xml:space="preserve">the HPLMN configures for the UE two slices, S1 and S2, and each slice is associated </w:t>
      </w:r>
      <w:r>
        <w:rPr>
          <w:rFonts w:hint="eastAsia"/>
        </w:rPr>
        <w:t>with an SNSRG, resp. G1 and G2</w:t>
      </w:r>
      <w:r>
        <w:t>.</w:t>
      </w:r>
    </w:p>
    <w:p w:rsidR="00EB67D9" w:rsidRDefault="00EB67D9" w:rsidP="00EB67D9">
      <w:pPr>
        <w:pStyle w:val="B1"/>
      </w:pPr>
      <w:r>
        <w:t>-</w:t>
      </w:r>
      <w:r>
        <w:tab/>
        <w:t>t</w:t>
      </w:r>
      <w:r w:rsidRPr="00EB67D9">
        <w:rPr>
          <w:rFonts w:hint="eastAsia"/>
        </w:rPr>
        <w:t>he UE subscription would then contain {S1</w:t>
      </w:r>
      <w:r w:rsidRPr="00EB67D9">
        <w:rPr>
          <w:rFonts w:hint="eastAsia"/>
        </w:rPr>
        <w:t>→</w:t>
      </w:r>
      <w:r w:rsidRPr="00EB67D9">
        <w:rPr>
          <w:rFonts w:hint="eastAsia"/>
        </w:rPr>
        <w:t>G1} and {S2</w:t>
      </w:r>
      <w:r w:rsidRPr="00EB67D9">
        <w:rPr>
          <w:rFonts w:hint="eastAsia"/>
        </w:rPr>
        <w:t>→</w:t>
      </w:r>
      <w:r>
        <w:rPr>
          <w:rFonts w:hint="eastAsia"/>
        </w:rPr>
        <w:t>G2}.</w:t>
      </w:r>
    </w:p>
    <w:p w:rsidR="00EB67D9" w:rsidRDefault="00EB67D9" w:rsidP="00EB67D9">
      <w:pPr>
        <w:pStyle w:val="B1"/>
      </w:pPr>
      <w:r>
        <w:t>-</w:t>
      </w:r>
      <w:r>
        <w:tab/>
        <w:t xml:space="preserve">when a default SNSRG is provided, we expect that </w:t>
      </w:r>
      <w:r w:rsidRPr="00EB67D9">
        <w:rPr>
          <w:rFonts w:hint="eastAsia"/>
        </w:rPr>
        <w:t xml:space="preserve">G1 is marked as </w:t>
      </w:r>
      <w:r>
        <w:t xml:space="preserve">the </w:t>
      </w:r>
      <w:r w:rsidRPr="00EB67D9">
        <w:rPr>
          <w:rFonts w:hint="eastAsia"/>
        </w:rPr>
        <w:t>"default SNSRG"</w:t>
      </w:r>
      <w:r>
        <w:t>.</w:t>
      </w:r>
    </w:p>
    <w:p w:rsidR="009E3C41" w:rsidRDefault="009E3C41" w:rsidP="009E3C41">
      <w:pPr>
        <w:pStyle w:val="Heading3"/>
      </w:pPr>
      <w:r>
        <w:t xml:space="preserve">Opt 1. </w:t>
      </w:r>
      <w:r>
        <w:tab/>
        <w:t>Only sending a subset of subscribed S-NSSAIs to the UE not supporting SNSRG (</w:t>
      </w:r>
      <w:r w:rsidR="00EB67D9">
        <w:t xml:space="preserve">original </w:t>
      </w:r>
      <w:r>
        <w:t>Nokia proposal)</w:t>
      </w:r>
    </w:p>
    <w:p w:rsidR="009E3C41" w:rsidRDefault="009E3C41" w:rsidP="009E3C41">
      <w:r>
        <w:rPr>
          <w:rFonts w:hint="eastAsia"/>
        </w:rPr>
        <w:t>Nok</w:t>
      </w:r>
      <w:r>
        <w:t xml:space="preserve">ia's proposal </w:t>
      </w:r>
      <w:r w:rsidR="00EB67D9">
        <w:t>was already proposing a</w:t>
      </w:r>
      <w:r>
        <w:t xml:space="preserve"> </w:t>
      </w:r>
      <w:r w:rsidR="00EB67D9">
        <w:t xml:space="preserve">specific </w:t>
      </w:r>
      <w:r>
        <w:t>stage 3 encoding</w:t>
      </w:r>
      <w:r w:rsidR="00EB67D9">
        <w:t xml:space="preserve"> for the default SNSRG</w:t>
      </w:r>
      <w:r>
        <w:t xml:space="preserve">, </w:t>
      </w:r>
      <w:r w:rsidR="00EB67D9">
        <w:t>which is to give it the value 0</w:t>
      </w:r>
      <w:r>
        <w:t>.</w:t>
      </w:r>
      <w:r w:rsidR="00EB67D9">
        <w:t xml:space="preserve"> This does not change the stage 2 level aspects.</w:t>
      </w:r>
    </w:p>
    <w:p w:rsidR="009E3C41" w:rsidRDefault="009E3C41" w:rsidP="009E3C41">
      <w:pPr>
        <w:pStyle w:val="B1"/>
      </w:pPr>
      <w:r>
        <w:t>-</w:t>
      </w:r>
      <w:r>
        <w:tab/>
      </w:r>
      <w:r>
        <w:rPr>
          <w:rFonts w:hint="eastAsia"/>
        </w:rPr>
        <w:t xml:space="preserve">If the UE indicates support for SNSRG, the AMF would send </w:t>
      </w:r>
      <w:r w:rsidR="00EB67D9">
        <w:t xml:space="preserve">the UE a </w:t>
      </w:r>
      <w:r>
        <w:rPr>
          <w:rFonts w:hint="eastAsia"/>
        </w:rPr>
        <w:t>Configured NSSAI</w:t>
      </w:r>
      <w:r w:rsidR="00EB67D9">
        <w:t xml:space="preserve"> </w:t>
      </w:r>
      <w:r>
        <w:rPr>
          <w:rFonts w:hint="eastAsia"/>
        </w:rPr>
        <w:t>= {S1, S2}, SNSRG = {S1</w:t>
      </w:r>
      <w:r>
        <w:rPr>
          <w:rFonts w:hint="eastAsia"/>
        </w:rPr>
        <w:t>→</w:t>
      </w:r>
      <w:r>
        <w:rPr>
          <w:rFonts w:hint="eastAsia"/>
        </w:rPr>
        <w:t>G1, S2</w:t>
      </w:r>
      <w:r>
        <w:rPr>
          <w:rFonts w:hint="eastAsia"/>
        </w:rPr>
        <w:t>→</w:t>
      </w:r>
      <w:r>
        <w:rPr>
          <w:rFonts w:hint="eastAsia"/>
        </w:rPr>
        <w:t>G2}.</w:t>
      </w:r>
    </w:p>
    <w:p w:rsidR="009E3C41" w:rsidRDefault="009E3C41" w:rsidP="009E3C41">
      <w:pPr>
        <w:pStyle w:val="B1"/>
      </w:pPr>
      <w:r>
        <w:t>-</w:t>
      </w:r>
      <w:r>
        <w:tab/>
        <w:t>If the UE does not indicate support for SNSRG, the AMF would send</w:t>
      </w:r>
      <w:r w:rsidR="00EB67D9">
        <w:t xml:space="preserve"> the UE a</w:t>
      </w:r>
      <w:r>
        <w:t xml:space="preserve"> Configured NSSAI = {S1} only.</w:t>
      </w:r>
    </w:p>
    <w:p w:rsidR="009E3C41" w:rsidRDefault="009E3C41" w:rsidP="009E3C41">
      <w:r w:rsidRPr="009E3C41">
        <w:rPr>
          <w:b/>
        </w:rPr>
        <w:t>Pros</w:t>
      </w:r>
      <w:r>
        <w:t>:</w:t>
      </w:r>
    </w:p>
    <w:p w:rsidR="009E3C41" w:rsidRDefault="009E3C41" w:rsidP="009E3C41">
      <w:pPr>
        <w:pStyle w:val="B1"/>
      </w:pPr>
      <w:r>
        <w:t>-</w:t>
      </w:r>
      <w:r>
        <w:tab/>
        <w:t>the UE indicating support is able to optimise its selection of slices, and never requests both S1 and S2 simultaneously in Requested NSSAI.</w:t>
      </w:r>
      <w:r w:rsidR="00EB67D9">
        <w:t xml:space="preserve"> </w:t>
      </w:r>
      <w:r w:rsidR="00EB67D9" w:rsidRPr="00EB67D9">
        <w:rPr>
          <w:i/>
        </w:rPr>
        <w:t>[this is common to all options]</w:t>
      </w:r>
    </w:p>
    <w:p w:rsidR="009E3C41" w:rsidRDefault="009E3C41" w:rsidP="009E3C41">
      <w:pPr>
        <w:pStyle w:val="B1"/>
      </w:pPr>
      <w:r>
        <w:t>-</w:t>
      </w:r>
      <w:r>
        <w:tab/>
        <w:t xml:space="preserve">the UE not indicating support (incl. all Rel-15/16 UEs) is able to request S1 (and all other slices </w:t>
      </w:r>
      <w:r w:rsidR="00EB67D9">
        <w:t xml:space="preserve">sharing the same SNSRG </w:t>
      </w:r>
      <w:r>
        <w:t>with S1) and be sure that they will never be rejected due to subscription restriction (they can still be rejected for other reasons, e.g. not present in the TA, or because there is no AMF serving the TA that serves all the slices requested, as for Rel-15/16).</w:t>
      </w:r>
    </w:p>
    <w:p w:rsidR="009E3C41" w:rsidRDefault="009E3C41" w:rsidP="009E3C41">
      <w:r w:rsidRPr="009E3C41">
        <w:rPr>
          <w:b/>
        </w:rPr>
        <w:t>Cons</w:t>
      </w:r>
      <w:r>
        <w:t>:</w:t>
      </w:r>
    </w:p>
    <w:p w:rsidR="009E3C41" w:rsidRDefault="009E3C41" w:rsidP="009E3C41">
      <w:pPr>
        <w:pStyle w:val="B1"/>
      </w:pPr>
      <w:r>
        <w:lastRenderedPageBreak/>
        <w:t>-</w:t>
      </w:r>
      <w:r>
        <w:tab/>
        <w:t xml:space="preserve">the UE not indicating support (incl. all Rel-15/16 UEs) </w:t>
      </w:r>
      <w:r w:rsidRPr="00CB63DA">
        <w:rPr>
          <w:b/>
          <w:color w:val="FF0000"/>
        </w:rPr>
        <w:t>will never receive S2 in the Configured NSSAI</w:t>
      </w:r>
      <w:r>
        <w:t xml:space="preserve">, it will never even know that it is subscribed to S2. If </w:t>
      </w:r>
      <w:r w:rsidR="00CB63DA">
        <w:t xml:space="preserve">certain </w:t>
      </w:r>
      <w:r>
        <w:t xml:space="preserve">services in URSP are linked to S2 exclusively, </w:t>
      </w:r>
      <w:r w:rsidRPr="00CB63DA">
        <w:rPr>
          <w:b/>
          <w:color w:val="FF0000"/>
        </w:rPr>
        <w:t>the UE will not be able to use these services at all</w:t>
      </w:r>
      <w:r>
        <w:t>.</w:t>
      </w:r>
    </w:p>
    <w:p w:rsidR="009E3C41" w:rsidRDefault="009E3C41" w:rsidP="009E3C41">
      <w:pPr>
        <w:pStyle w:val="Heading3"/>
      </w:pPr>
      <w:r>
        <w:t>Opt 2.</w:t>
      </w:r>
      <w:r>
        <w:tab/>
        <w:t>Sending all subscribed S-NSSAIs to the UE not indicating support for SNSRG (original Huawei proposal)</w:t>
      </w:r>
    </w:p>
    <w:p w:rsidR="009E3C41" w:rsidRDefault="009E3C41" w:rsidP="009E3C41">
      <w:r>
        <w:rPr>
          <w:rFonts w:hint="eastAsia"/>
        </w:rPr>
        <w:t>Reusing the same example as above ( Configured NSSAI= {S1, S2}, SNSRG = {S1</w:t>
      </w:r>
      <w:r>
        <w:rPr>
          <w:rFonts w:hint="eastAsia"/>
        </w:rPr>
        <w:t>→</w:t>
      </w:r>
      <w:r>
        <w:rPr>
          <w:rFonts w:hint="eastAsia"/>
        </w:rPr>
        <w:t>G1, S2</w:t>
      </w:r>
      <w:r>
        <w:rPr>
          <w:rFonts w:hint="eastAsia"/>
        </w:rPr>
        <w:t>→</w:t>
      </w:r>
      <w:r>
        <w:rPr>
          <w:rFonts w:hint="eastAsia"/>
        </w:rPr>
        <w:t>G2} ).</w:t>
      </w:r>
    </w:p>
    <w:p w:rsidR="009E3C41" w:rsidRDefault="00AF499C" w:rsidP="00AF499C">
      <w:pPr>
        <w:pStyle w:val="B1"/>
      </w:pPr>
      <w:r>
        <w:t>-</w:t>
      </w:r>
      <w:r>
        <w:tab/>
      </w:r>
      <w:r w:rsidR="009E3C41">
        <w:rPr>
          <w:rFonts w:hint="eastAsia"/>
        </w:rPr>
        <w:t>If the UE indicates support for SNSRG, the AMF would send Configured NSSAI= {S1, S2}, SNSRG = {S1</w:t>
      </w:r>
      <w:r w:rsidR="009E3C41">
        <w:rPr>
          <w:rFonts w:hint="eastAsia"/>
        </w:rPr>
        <w:t>→</w:t>
      </w:r>
      <w:r w:rsidR="009E3C41">
        <w:rPr>
          <w:rFonts w:hint="eastAsia"/>
        </w:rPr>
        <w:t>G1, S2</w:t>
      </w:r>
      <w:r w:rsidR="009E3C41">
        <w:rPr>
          <w:rFonts w:hint="eastAsia"/>
        </w:rPr>
        <w:t>→</w:t>
      </w:r>
      <w:r w:rsidR="009E3C41">
        <w:rPr>
          <w:rFonts w:hint="eastAsia"/>
        </w:rPr>
        <w:t xml:space="preserve">G2}. </w:t>
      </w:r>
      <w:r w:rsidR="009E3C41" w:rsidRPr="00AF499C">
        <w:rPr>
          <w:rFonts w:hint="eastAsia"/>
          <w:i/>
        </w:rPr>
        <w:t>[same as above]</w:t>
      </w:r>
    </w:p>
    <w:p w:rsidR="009E3C41" w:rsidRDefault="00AF499C" w:rsidP="00AF499C">
      <w:pPr>
        <w:pStyle w:val="B1"/>
      </w:pPr>
      <w:r>
        <w:t>-</w:t>
      </w:r>
      <w:r>
        <w:tab/>
      </w:r>
      <w:r w:rsidR="009E3C41">
        <w:t>If the UE does not indicate support for SNSRG, the AMF would send Configured NSSAI= {S1, S2}.</w:t>
      </w:r>
    </w:p>
    <w:p w:rsidR="009E3C41" w:rsidRDefault="009E3C41" w:rsidP="009E3C41">
      <w:r w:rsidRPr="00AF499C">
        <w:rPr>
          <w:b/>
        </w:rPr>
        <w:t>Pros</w:t>
      </w:r>
      <w:r>
        <w:t>:</w:t>
      </w:r>
    </w:p>
    <w:p w:rsidR="009E3C41" w:rsidRDefault="00AF499C" w:rsidP="00AF499C">
      <w:pPr>
        <w:pStyle w:val="B1"/>
      </w:pPr>
      <w:r>
        <w:t>-</w:t>
      </w:r>
      <w:r>
        <w:tab/>
      </w:r>
      <w:r w:rsidR="009E3C41">
        <w:t xml:space="preserve">the UE indicating support is able to optimise its selection of slices, and never requests both S1 and S2 simultaneously in Requested NSSAI. </w:t>
      </w:r>
      <w:r w:rsidR="00EB67D9" w:rsidRPr="00EB67D9">
        <w:rPr>
          <w:i/>
        </w:rPr>
        <w:t>[this is common to all options]</w:t>
      </w:r>
    </w:p>
    <w:p w:rsidR="009E3C41" w:rsidRDefault="00AF499C" w:rsidP="00AF499C">
      <w:pPr>
        <w:pStyle w:val="B1"/>
      </w:pPr>
      <w:r>
        <w:t>-</w:t>
      </w:r>
      <w:r>
        <w:tab/>
      </w:r>
      <w:r w:rsidR="009E3C41">
        <w:t>the UE not indicating support (incl. all Rel-15/16 UEs) is able to access all services on S1 or S2 (not simultaneously of course), selecting the slice to request based on the URSP mapping of applications to network slices, as in Rel-15/16. If a UE requests both S1 and S2, the AMF/NSSF will have to decide based on configuration, internal heuristics and TA support of slices, which slice to provide to the UE, as in Rel-15/16.</w:t>
      </w:r>
    </w:p>
    <w:p w:rsidR="009E3C41" w:rsidRDefault="009E3C41" w:rsidP="009E3C41">
      <w:r w:rsidRPr="00AF499C">
        <w:rPr>
          <w:b/>
        </w:rPr>
        <w:t>Cons</w:t>
      </w:r>
      <w:r>
        <w:t>:</w:t>
      </w:r>
    </w:p>
    <w:p w:rsidR="009E3C41" w:rsidRDefault="00AF499C" w:rsidP="00AF499C">
      <w:pPr>
        <w:pStyle w:val="B1"/>
      </w:pPr>
      <w:r>
        <w:t>-</w:t>
      </w:r>
      <w:r>
        <w:tab/>
      </w:r>
      <w:r w:rsidR="009E3C41">
        <w:t xml:space="preserve">the UE not indicating support (incl. all Rel-15/16 UEs) will be provided both S1 and S2 in Configured NSSAI, but will not know in advance from the network that S1 and S2 cannot be used simultaneously. If applications on the UE respectively tied to S1 and S2 can be used simultaneously, the UE implementation may try to include both S1 and S2 in the Requested NSSAI, and see one of them be rejected (e.g. S2). The UE would have to have internal logic to understand that, in order to get S2 in Allowed NSSAI, it has to </w:t>
      </w:r>
      <w:r w:rsidR="009E3C41" w:rsidRPr="00CB63DA">
        <w:rPr>
          <w:b/>
        </w:rPr>
        <w:t>not</w:t>
      </w:r>
      <w:r w:rsidR="009E3C41">
        <w:t xml:space="preserve"> include S1 in the Requested NSSAI. This is what </w:t>
      </w:r>
      <w:r w:rsidR="00CB63DA">
        <w:t>Nokia in S2-2102773r9</w:t>
      </w:r>
      <w:r w:rsidR="009E3C41">
        <w:t xml:space="preserve"> has been qualifying as "unpredictable". </w:t>
      </w:r>
      <w:r w:rsidR="00CB63DA">
        <w:t>Note that t</w:t>
      </w:r>
      <w:r w:rsidR="009E3C41">
        <w:t>his is also the situation in Rel-15/16.</w:t>
      </w:r>
    </w:p>
    <w:p w:rsidR="00AF499C" w:rsidRDefault="00AF499C" w:rsidP="009E3C41"/>
    <w:p w:rsidR="009E3C41" w:rsidRDefault="009E3C41" w:rsidP="009E3C41">
      <w:r>
        <w:t xml:space="preserve">It was our opinion that it is more important to let the non-supporting UE have the ability to access S2 at all, taking the chance that the UE might face rejection, rather than the UE </w:t>
      </w:r>
      <w:r w:rsidRPr="00CB63DA">
        <w:rPr>
          <w:b/>
        </w:rPr>
        <w:t>NOT</w:t>
      </w:r>
      <w:r>
        <w:t xml:space="preserve"> having access to S2</w:t>
      </w:r>
      <w:r w:rsidRPr="00CB63DA">
        <w:rPr>
          <w:i/>
        </w:rPr>
        <w:t xml:space="preserve"> at all</w:t>
      </w:r>
      <w:r>
        <w:t xml:space="preserve"> in the first place, </w:t>
      </w:r>
      <w:r w:rsidR="00CB63DA">
        <w:t xml:space="preserve">potentially </w:t>
      </w:r>
      <w:r>
        <w:t>denying access to a number of applications to the UE.</w:t>
      </w:r>
    </w:p>
    <w:p w:rsidR="009E3C41" w:rsidRDefault="009E3C41" w:rsidP="009E3C41">
      <w:r>
        <w:t>However, it was argued against our opinion, that the feature would be mainly be used in new, controlled scenarios where the operator would be almost sure of UE support for the feature, and that in that case, it would be preferable to deny access to the service, rather than taking chances with the UE implementations.</w:t>
      </w:r>
    </w:p>
    <w:p w:rsidR="009E3C41" w:rsidRDefault="009E3C41" w:rsidP="009E3C41">
      <w:r>
        <w:t>Therefore, we have proposed an option 3 combining both possibilities, so that both scenarios where the operator has full control of the UE population and scenarios where the operator does not have full control of the UE population can be supported.</w:t>
      </w:r>
    </w:p>
    <w:p w:rsidR="009E3C41" w:rsidRDefault="00AF499C" w:rsidP="00AF499C">
      <w:pPr>
        <w:pStyle w:val="Heading3"/>
      </w:pPr>
      <w:r>
        <w:t>Opt 3.</w:t>
      </w:r>
      <w:r>
        <w:tab/>
      </w:r>
      <w:r w:rsidR="009E3C41">
        <w:t>Allowing the operator to choose the handling for UEs not indicating support SNSRG (final proposal from Huawei)</w:t>
      </w:r>
    </w:p>
    <w:p w:rsidR="009E3C41" w:rsidRDefault="009E3C41" w:rsidP="009E3C41">
      <w:r>
        <w:rPr>
          <w:rFonts w:hint="eastAsia"/>
        </w:rPr>
        <w:t>Reusing the example as above ( Configured NSSAI= {S1, S2}, SNSRG = {S1</w:t>
      </w:r>
      <w:r>
        <w:rPr>
          <w:rFonts w:hint="eastAsia"/>
        </w:rPr>
        <w:t>→</w:t>
      </w:r>
      <w:r>
        <w:rPr>
          <w:rFonts w:hint="eastAsia"/>
        </w:rPr>
        <w:t>G1, S2</w:t>
      </w:r>
      <w:r>
        <w:rPr>
          <w:rFonts w:hint="eastAsia"/>
        </w:rPr>
        <w:t>→</w:t>
      </w:r>
      <w:r>
        <w:rPr>
          <w:rFonts w:hint="eastAsia"/>
        </w:rPr>
        <w:t>G2}, [default SNSRG = G1] ).</w:t>
      </w:r>
    </w:p>
    <w:p w:rsidR="009E3C41" w:rsidRDefault="009E3C41" w:rsidP="009E3C41">
      <w:r>
        <w:t>The operator may indicate a default SNSRG as part of the UE subscription. The presence of the default SNSRG determines the handling for UEs not indicating support of SNSRG.</w:t>
      </w:r>
    </w:p>
    <w:p w:rsidR="00CB63DA" w:rsidRDefault="00AF499C" w:rsidP="00AF499C">
      <w:pPr>
        <w:pStyle w:val="B1"/>
      </w:pPr>
      <w:r>
        <w:t>-</w:t>
      </w:r>
      <w:r>
        <w:tab/>
      </w:r>
      <w:r w:rsidR="009E3C41">
        <w:rPr>
          <w:rFonts w:hint="eastAsia"/>
        </w:rPr>
        <w:t>If the UE indicates support for SNSRG, the AMF would send Configured NSSAI= {S1, S2}, SNSRG = {S1</w:t>
      </w:r>
      <w:r w:rsidR="009E3C41">
        <w:rPr>
          <w:rFonts w:hint="eastAsia"/>
        </w:rPr>
        <w:t>→</w:t>
      </w:r>
      <w:r w:rsidR="009E3C41">
        <w:rPr>
          <w:rFonts w:hint="eastAsia"/>
        </w:rPr>
        <w:t>G1, S2</w:t>
      </w:r>
      <w:r w:rsidR="009E3C41">
        <w:rPr>
          <w:rFonts w:hint="eastAsia"/>
        </w:rPr>
        <w:t>→</w:t>
      </w:r>
      <w:r w:rsidR="009E3C41">
        <w:rPr>
          <w:rFonts w:hint="eastAsia"/>
        </w:rPr>
        <w:t>G2}.</w:t>
      </w:r>
    </w:p>
    <w:p w:rsidR="009E3C41" w:rsidRDefault="00AF499C" w:rsidP="00AF499C">
      <w:pPr>
        <w:pStyle w:val="B1"/>
      </w:pPr>
      <w:r>
        <w:t>-</w:t>
      </w:r>
      <w:r>
        <w:tab/>
      </w:r>
      <w:r w:rsidR="009E3C41">
        <w:t>If the UE does not indicate support for SNSRG:</w:t>
      </w:r>
    </w:p>
    <w:p w:rsidR="009E3C41" w:rsidRDefault="00AF499C" w:rsidP="00AF499C">
      <w:pPr>
        <w:pStyle w:val="B2"/>
      </w:pPr>
      <w:r>
        <w:lastRenderedPageBreak/>
        <w:t>-</w:t>
      </w:r>
      <w:r>
        <w:tab/>
      </w:r>
      <w:r w:rsidR="009E3C41">
        <w:t xml:space="preserve">If the default SNSRG is </w:t>
      </w:r>
      <w:r w:rsidR="009E3C41" w:rsidRPr="00CB63DA">
        <w:rPr>
          <w:i/>
        </w:rPr>
        <w:t>present</w:t>
      </w:r>
      <w:r w:rsidR="009E3C41">
        <w:t xml:space="preserve"> in the subscription data, the AMF would send Configured NSSAI =  {S1} only. </w:t>
      </w:r>
      <w:r w:rsidR="009E3C41" w:rsidRPr="00CB63DA">
        <w:rPr>
          <w:i/>
        </w:rPr>
        <w:t>[same as Opt. 1]</w:t>
      </w:r>
    </w:p>
    <w:p w:rsidR="009E3C41" w:rsidRDefault="00AF499C" w:rsidP="00AF499C">
      <w:pPr>
        <w:pStyle w:val="B2"/>
      </w:pPr>
      <w:r>
        <w:t>-</w:t>
      </w:r>
      <w:r>
        <w:tab/>
      </w:r>
      <w:r w:rsidR="009E3C41">
        <w:t xml:space="preserve">If the default SNSRG is </w:t>
      </w:r>
      <w:r w:rsidR="009E3C41" w:rsidRPr="00CB63DA">
        <w:rPr>
          <w:i/>
        </w:rPr>
        <w:t>not present</w:t>
      </w:r>
      <w:r w:rsidR="009E3C41">
        <w:t xml:space="preserve"> in the subscription data, the AMF would send Configured NSSAI= {S1, S2}. </w:t>
      </w:r>
      <w:r w:rsidR="009E3C41" w:rsidRPr="00CB63DA">
        <w:rPr>
          <w:i/>
        </w:rPr>
        <w:t>[same as Opt. 2]</w:t>
      </w:r>
    </w:p>
    <w:p w:rsidR="009E3C41" w:rsidRDefault="009E3C41" w:rsidP="009E3C41">
      <w:r w:rsidRPr="00AF499C">
        <w:rPr>
          <w:b/>
        </w:rPr>
        <w:t>Pros</w:t>
      </w:r>
      <w:r>
        <w:t>:</w:t>
      </w:r>
    </w:p>
    <w:p w:rsidR="00EB67D9" w:rsidRDefault="00EB67D9" w:rsidP="00AF499C">
      <w:pPr>
        <w:pStyle w:val="B1"/>
        <w:rPr>
          <w:i/>
        </w:rPr>
      </w:pPr>
      <w:r>
        <w:t>-</w:t>
      </w:r>
      <w:r>
        <w:tab/>
        <w:t xml:space="preserve">the UE indicating support is able to optimise its selection of slices, and never requests both S1 and S2 simultaneously in Requested NSSAI. </w:t>
      </w:r>
      <w:r w:rsidRPr="00EB67D9">
        <w:rPr>
          <w:i/>
        </w:rPr>
        <w:t>[this is common to all options]</w:t>
      </w:r>
    </w:p>
    <w:p w:rsidR="009E3C41" w:rsidRDefault="00AF499C" w:rsidP="00AF499C">
      <w:pPr>
        <w:pStyle w:val="B1"/>
      </w:pPr>
      <w:r>
        <w:t>-</w:t>
      </w:r>
      <w:r>
        <w:tab/>
      </w:r>
      <w:r w:rsidR="009E3C41">
        <w:t>In the deployment scenarios where the operator has full control of the UE population, it can safely ensure that UEs will never request slices that cannot be used simultaneously by providing the default SRG.</w:t>
      </w:r>
    </w:p>
    <w:p w:rsidR="009E3C41" w:rsidRDefault="00AF499C" w:rsidP="00AF499C">
      <w:pPr>
        <w:pStyle w:val="B1"/>
      </w:pPr>
      <w:r>
        <w:t>-</w:t>
      </w:r>
      <w:r>
        <w:tab/>
      </w:r>
      <w:r w:rsidR="009E3C41">
        <w:t xml:space="preserve">In the deployment scenarios where the operator does not have full control of the UE population (including the Rel-15/16 UEs), the operator </w:t>
      </w:r>
      <w:r w:rsidR="009E3C41" w:rsidRPr="00CB63DA">
        <w:rPr>
          <w:b/>
        </w:rPr>
        <w:t>can decide</w:t>
      </w:r>
      <w:r w:rsidR="009E3C41">
        <w:t xml:space="preserve"> whether it is more important to ensure </w:t>
      </w:r>
      <w:r w:rsidR="009E3C41" w:rsidRPr="00CB63DA">
        <w:rPr>
          <w:i/>
        </w:rPr>
        <w:t>which slice</w:t>
      </w:r>
      <w:r w:rsidR="009E3C41">
        <w:t xml:space="preserve"> the UE can have access to, or to ensure that the UE has access to </w:t>
      </w:r>
      <w:r w:rsidR="009E3C41" w:rsidRPr="00CB63DA">
        <w:rPr>
          <w:i/>
        </w:rPr>
        <w:t>all</w:t>
      </w:r>
      <w:r w:rsidR="009E3C41">
        <w:t xml:space="preserve"> services — this can be determined per UE</w:t>
      </w:r>
      <w:r w:rsidR="00CB63DA">
        <w:t xml:space="preserve"> if wanted</w:t>
      </w:r>
      <w:r w:rsidR="009E3C41">
        <w:t>.</w:t>
      </w:r>
    </w:p>
    <w:p w:rsidR="009E3C41" w:rsidRDefault="009E3C41" w:rsidP="009E3C41">
      <w:r w:rsidRPr="00AF499C">
        <w:rPr>
          <w:b/>
        </w:rPr>
        <w:t>Cons</w:t>
      </w:r>
      <w:r>
        <w:t>:</w:t>
      </w:r>
    </w:p>
    <w:p w:rsidR="009E3C41" w:rsidRDefault="00AF499C" w:rsidP="00AF499C">
      <w:pPr>
        <w:pStyle w:val="B1"/>
      </w:pPr>
      <w:r>
        <w:t>-</w:t>
      </w:r>
      <w:r>
        <w:tab/>
        <w:t>None</w:t>
      </w:r>
    </w:p>
    <w:p w:rsidR="009E3C41" w:rsidRDefault="00AF499C" w:rsidP="00AF499C">
      <w:pPr>
        <w:pStyle w:val="Heading1"/>
      </w:pPr>
      <w:r>
        <w:t>2.</w:t>
      </w:r>
      <w:r>
        <w:tab/>
      </w:r>
      <w:r w:rsidR="009E3C41">
        <w:t>Conclusion</w:t>
      </w:r>
    </w:p>
    <w:p w:rsidR="009E3C41" w:rsidRDefault="009E3C41" w:rsidP="009E3C41">
      <w:r>
        <w:t>In our opinion, option 3 is not only a compromise of Nokia's and Huawei's proposals in SA2#144e, but also it allows operators to handle in a different way the different situations it may face. Again, we do not see any drawbacks for option 3, compared to option 1 or option 2:</w:t>
      </w:r>
    </w:p>
    <w:p w:rsidR="009E3C41" w:rsidRDefault="009E3C41" w:rsidP="009E3C41">
      <w:r>
        <w:t xml:space="preserve">This allows operators to deploy the feature in situations where they have full control of the UE population (by using default </w:t>
      </w:r>
      <w:r w:rsidR="00CB63DA">
        <w:t>SNSRG</w:t>
      </w:r>
      <w:r>
        <w:t>).</w:t>
      </w:r>
    </w:p>
    <w:p w:rsidR="009E3C41" w:rsidRDefault="009E3C41" w:rsidP="009E3C41">
      <w:r>
        <w:t>This also allows operators to take advantage of the feature for other scenarios, where they would improve some UEs' selection of Requested NSSAI by indicating proactively limitations on simultaneous use of network slices, even when they potentially have a sizeable number of UEs not indicating support for the feature (e.g. all Rel-15 and Rel-16 UEs).</w:t>
      </w:r>
    </w:p>
    <w:p w:rsidR="009E3C41" w:rsidRDefault="009E3C41" w:rsidP="009E3C41">
      <w:r>
        <w:t>This allows the operators to combine both handlings depending on the UEs and the slices they are subscribed to (e.g. have a certain handling for one PNI-NPN and a different handling for another PNI-NPN</w:t>
      </w:r>
      <w:r w:rsidR="00CB63DA">
        <w:t>, or for generic services in their PLMN</w:t>
      </w:r>
      <w:r>
        <w:t>).</w:t>
      </w:r>
    </w:p>
    <w:p w:rsidR="009E3C41" w:rsidRPr="009E3C41" w:rsidRDefault="009E3C41" w:rsidP="009E3C41">
      <w:r>
        <w:t xml:space="preserve">Without option 3, the operator </w:t>
      </w:r>
      <w:r w:rsidRPr="00CB63DA">
        <w:rPr>
          <w:b/>
        </w:rPr>
        <w:t>would not be able to use the feature</w:t>
      </w:r>
      <w:r>
        <w:t xml:space="preserve"> until it has a reasonable certainty that all target UEs are Rel-17 UEs with support of the feature. Otherwise, the UEs not supporting the feature would never be able to access the services not in the default SNSRG.</w:t>
      </w:r>
    </w:p>
    <w:p w:rsidR="008F0B57" w:rsidRDefault="00AF499C" w:rsidP="00AF499C">
      <w:pPr>
        <w:pStyle w:val="Heading1"/>
        <w:rPr>
          <w:lang w:eastAsia="zh-CN"/>
        </w:rPr>
      </w:pPr>
      <w:r>
        <w:rPr>
          <w:lang w:eastAsia="zh-CN"/>
        </w:rPr>
        <w:t>3.</w:t>
      </w:r>
      <w:r>
        <w:rPr>
          <w:lang w:eastAsia="zh-CN"/>
        </w:rPr>
        <w:tab/>
        <w:t>P</w:t>
      </w:r>
      <w:r w:rsidR="00AB1E11">
        <w:rPr>
          <w:lang w:eastAsia="zh-CN"/>
        </w:rPr>
        <w:t>roposal</w:t>
      </w:r>
    </w:p>
    <w:p w:rsidR="00C939A8" w:rsidRDefault="00AF499C" w:rsidP="00B80A0F">
      <w:pPr>
        <w:ind w:left="851" w:hanging="851"/>
        <w:rPr>
          <w:rFonts w:eastAsia="SimSun"/>
          <w:lang w:eastAsia="zh-CN"/>
        </w:rPr>
      </w:pPr>
      <w:r w:rsidRPr="00AF499C">
        <w:rPr>
          <w:rFonts w:eastAsia="SimSun"/>
          <w:b/>
          <w:lang w:eastAsia="zh-CN"/>
        </w:rPr>
        <w:t>Proposal</w:t>
      </w:r>
      <w:r>
        <w:rPr>
          <w:rFonts w:eastAsia="SimSun"/>
          <w:lang w:eastAsia="zh-CN"/>
        </w:rPr>
        <w:t>: Option 3 presented in this paper shall be selected. Operators should be given the capability to decide whether UEs not indicating support for the feature should be configured with a limited subset of S-NSSAIs they are subscribed to, or whether they should be configured with all S-NSSAIs they are subscribed to, with the risk that their requested S-NSSAIs cannot all be allowed simultaneously.</w:t>
      </w:r>
    </w:p>
    <w:p w:rsidR="00551721" w:rsidRDefault="00551721" w:rsidP="00B80A0F">
      <w:pPr>
        <w:ind w:left="851" w:hanging="851"/>
        <w:rPr>
          <w:rFonts w:eastAsia="SimSun"/>
          <w:lang w:eastAsia="zh-CN"/>
        </w:rPr>
      </w:pPr>
      <w:r>
        <w:rPr>
          <w:rFonts w:eastAsia="SimSun"/>
          <w:lang w:eastAsia="zh-CN"/>
        </w:rPr>
        <w:t>FYI, S2-2104644 (23.501) S2-2104641 (23.502) are implemented according to option 3.</w:t>
      </w:r>
      <w:bookmarkStart w:id="0" w:name="_GoBack"/>
      <w:bookmarkEnd w:id="0"/>
    </w:p>
    <w:sectPr w:rsidR="00551721">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2595" w:rsidRDefault="00D92595">
      <w:r>
        <w:separator/>
      </w:r>
    </w:p>
    <w:p w:rsidR="00D92595" w:rsidRDefault="00D92595"/>
  </w:endnote>
  <w:endnote w:type="continuationSeparator" w:id="0">
    <w:p w:rsidR="00D92595" w:rsidRDefault="00D92595">
      <w:r>
        <w:continuationSeparator/>
      </w:r>
    </w:p>
    <w:p w:rsidR="00D92595" w:rsidRDefault="00D925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6012" w:rsidRDefault="00316012">
    <w:pPr>
      <w:framePr w:w="646" w:h="244" w:hRule="exact" w:wrap="around" w:vAnchor="text" w:hAnchor="margin" w:y="-5"/>
      <w:rPr>
        <w:rFonts w:ascii="Arial" w:hAnsi="Arial" w:cs="Arial"/>
        <w:b/>
        <w:bCs/>
        <w:i/>
        <w:iCs/>
        <w:sz w:val="18"/>
      </w:rPr>
    </w:pPr>
    <w:r>
      <w:rPr>
        <w:rFonts w:ascii="Arial" w:hAnsi="Arial" w:cs="Arial"/>
        <w:b/>
        <w:bCs/>
        <w:i/>
        <w:iCs/>
        <w:sz w:val="18"/>
      </w:rPr>
      <w:t>3GPP</w:t>
    </w:r>
  </w:p>
  <w:p w:rsidR="00316012" w:rsidRDefault="0031601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16012" w:rsidRDefault="003160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2595" w:rsidRDefault="00D92595">
      <w:r>
        <w:separator/>
      </w:r>
    </w:p>
    <w:p w:rsidR="00D92595" w:rsidRDefault="00D92595"/>
  </w:footnote>
  <w:footnote w:type="continuationSeparator" w:id="0">
    <w:p w:rsidR="00D92595" w:rsidRDefault="00D92595">
      <w:r>
        <w:continuationSeparator/>
      </w:r>
    </w:p>
    <w:p w:rsidR="00D92595" w:rsidRDefault="00D9259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6012" w:rsidRDefault="00316012"/>
  <w:p w:rsidR="00316012" w:rsidRDefault="003160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6012" w:rsidRPr="00583C24" w:rsidRDefault="00316012">
    <w:pPr>
      <w:framePr w:w="2851" w:h="244" w:hRule="exact" w:wrap="around" w:vAnchor="text" w:hAnchor="page" w:x="1156" w:y="-1"/>
      <w:rPr>
        <w:rFonts w:ascii="Arial" w:hAnsi="Arial" w:cs="Arial"/>
        <w:b/>
        <w:bCs/>
        <w:sz w:val="18"/>
        <w:lang w:val="fr-FR"/>
      </w:rPr>
    </w:pPr>
    <w:r w:rsidRPr="00583C24">
      <w:rPr>
        <w:rFonts w:ascii="Arial" w:hAnsi="Arial" w:cs="Arial"/>
        <w:b/>
        <w:bCs/>
        <w:sz w:val="18"/>
        <w:lang w:val="fr-FR"/>
      </w:rPr>
      <w:t>SA WG2 Temporary Document</w:t>
    </w:r>
  </w:p>
  <w:p w:rsidR="00316012" w:rsidRPr="00583C24" w:rsidRDefault="00316012" w:rsidP="003264F1">
    <w:pPr>
      <w:framePr w:w="946" w:h="272" w:hRule="exact" w:wrap="around" w:vAnchor="text" w:hAnchor="margin" w:xAlign="center" w:y="-1"/>
      <w:jc w:val="center"/>
      <w:rPr>
        <w:rFonts w:ascii="Arial" w:hAnsi="Arial" w:cs="Arial"/>
        <w:b/>
        <w:bCs/>
        <w:sz w:val="18"/>
        <w:lang w:val="fr-FR"/>
      </w:rPr>
    </w:pPr>
    <w:r w:rsidRPr="00583C24">
      <w:rPr>
        <w:rFonts w:ascii="Arial" w:hAnsi="Arial" w:cs="Arial"/>
        <w:b/>
        <w:bCs/>
        <w:sz w:val="18"/>
        <w:lang w:val="fr-FR"/>
      </w:rPr>
      <w:t xml:space="preserve">Page </w:t>
    </w:r>
    <w:r>
      <w:rPr>
        <w:rFonts w:ascii="Arial" w:hAnsi="Arial" w:cs="Arial"/>
        <w:b/>
        <w:bCs/>
        <w:sz w:val="18"/>
      </w:rPr>
      <w:fldChar w:fldCharType="begin"/>
    </w:r>
    <w:r w:rsidRPr="00583C24">
      <w:rPr>
        <w:rFonts w:ascii="Arial" w:hAnsi="Arial" w:cs="Arial"/>
        <w:b/>
        <w:bCs/>
        <w:sz w:val="18"/>
        <w:lang w:val="fr-FR"/>
      </w:rPr>
      <w:instrText xml:space="preserve">page </w:instrText>
    </w:r>
    <w:r>
      <w:rPr>
        <w:rFonts w:ascii="Arial" w:hAnsi="Arial" w:cs="Arial"/>
        <w:b/>
        <w:bCs/>
        <w:sz w:val="18"/>
      </w:rPr>
      <w:fldChar w:fldCharType="separate"/>
    </w:r>
    <w:r w:rsidR="00551721">
      <w:rPr>
        <w:rFonts w:ascii="Arial" w:hAnsi="Arial" w:cs="Arial"/>
        <w:b/>
        <w:bCs/>
        <w:noProof/>
        <w:sz w:val="18"/>
        <w:lang w:val="fr-FR"/>
      </w:rPr>
      <w:t>3</w:t>
    </w:r>
    <w:r>
      <w:rPr>
        <w:rFonts w:ascii="Arial" w:hAnsi="Arial" w:cs="Arial"/>
        <w:b/>
        <w:bCs/>
        <w:sz w:val="18"/>
      </w:rPr>
      <w:fldChar w:fldCharType="end"/>
    </w:r>
  </w:p>
  <w:p w:rsidR="00316012" w:rsidRPr="00583C24" w:rsidRDefault="003160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pt;height:15.7pt" o:bullet="t">
        <v:imagedata r:id="rId1" o:title="art7234"/>
      </v:shape>
    </w:pict>
  </w:numPicBullet>
  <w:abstractNum w:abstractNumId="0" w15:restartNumberingAfterBreak="0">
    <w:nsid w:val="FFFFFF7C"/>
    <w:multiLevelType w:val="singleLevel"/>
    <w:tmpl w:val="484E41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C0BC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3AA53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A82833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70C22F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B07A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0EAA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DC6F4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CE6252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42EFD5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80360E"/>
    <w:multiLevelType w:val="hybridMultilevel"/>
    <w:tmpl w:val="EB6C1C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510CDB"/>
    <w:multiLevelType w:val="hybridMultilevel"/>
    <w:tmpl w:val="DDFA633E"/>
    <w:lvl w:ilvl="0" w:tplc="842CFC62">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6"/>
  </w:num>
  <w:num w:numId="3">
    <w:abstractNumId w:val="12"/>
  </w:num>
  <w:num w:numId="4">
    <w:abstractNumId w:val="15"/>
  </w:num>
  <w:num w:numId="5">
    <w:abstractNumId w:val="22"/>
  </w:num>
  <w:num w:numId="6">
    <w:abstractNumId w:val="31"/>
  </w:num>
  <w:num w:numId="7">
    <w:abstractNumId w:val="17"/>
  </w:num>
  <w:num w:numId="8">
    <w:abstractNumId w:val="21"/>
  </w:num>
  <w:num w:numId="9">
    <w:abstractNumId w:val="29"/>
  </w:num>
  <w:num w:numId="10">
    <w:abstractNumId w:val="32"/>
  </w:num>
  <w:num w:numId="11">
    <w:abstractNumId w:val="18"/>
  </w:num>
  <w:num w:numId="12">
    <w:abstractNumId w:val="10"/>
  </w:num>
  <w:num w:numId="13">
    <w:abstractNumId w:val="13"/>
  </w:num>
  <w:num w:numId="14">
    <w:abstractNumId w:val="19"/>
  </w:num>
  <w:num w:numId="15">
    <w:abstractNumId w:val="24"/>
  </w:num>
  <w:num w:numId="16">
    <w:abstractNumId w:val="14"/>
  </w:num>
  <w:num w:numId="17">
    <w:abstractNumId w:val="28"/>
  </w:num>
  <w:num w:numId="18">
    <w:abstractNumId w:val="20"/>
  </w:num>
  <w:num w:numId="19">
    <w:abstractNumId w:val="25"/>
  </w:num>
  <w:num w:numId="20">
    <w:abstractNumId w:val="27"/>
  </w:num>
  <w:num w:numId="21">
    <w:abstractNumId w:val="30"/>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3"/>
  </w:num>
  <w:num w:numId="33">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679D"/>
    <w:rsid w:val="00047051"/>
    <w:rsid w:val="00047C64"/>
    <w:rsid w:val="00050317"/>
    <w:rsid w:val="00050528"/>
    <w:rsid w:val="00050A6B"/>
    <w:rsid w:val="00050D23"/>
    <w:rsid w:val="000549F0"/>
    <w:rsid w:val="000559CF"/>
    <w:rsid w:val="00056F95"/>
    <w:rsid w:val="0005715C"/>
    <w:rsid w:val="000607A8"/>
    <w:rsid w:val="00060F17"/>
    <w:rsid w:val="00060F24"/>
    <w:rsid w:val="00062F11"/>
    <w:rsid w:val="000631E9"/>
    <w:rsid w:val="00063321"/>
    <w:rsid w:val="00063EF2"/>
    <w:rsid w:val="0006502B"/>
    <w:rsid w:val="00065A7F"/>
    <w:rsid w:val="000708BD"/>
    <w:rsid w:val="00071CC8"/>
    <w:rsid w:val="00071FAE"/>
    <w:rsid w:val="00073048"/>
    <w:rsid w:val="0007338E"/>
    <w:rsid w:val="00073BD4"/>
    <w:rsid w:val="00074480"/>
    <w:rsid w:val="0007536B"/>
    <w:rsid w:val="00075D9C"/>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C95"/>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4FDB"/>
    <w:rsid w:val="001150B2"/>
    <w:rsid w:val="00120763"/>
    <w:rsid w:val="0012113A"/>
    <w:rsid w:val="00121764"/>
    <w:rsid w:val="00121A78"/>
    <w:rsid w:val="00122017"/>
    <w:rsid w:val="00122F37"/>
    <w:rsid w:val="00123AE8"/>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95C"/>
    <w:rsid w:val="00214A95"/>
    <w:rsid w:val="0021576A"/>
    <w:rsid w:val="00215B76"/>
    <w:rsid w:val="00216039"/>
    <w:rsid w:val="00220AEB"/>
    <w:rsid w:val="00221F47"/>
    <w:rsid w:val="00223D76"/>
    <w:rsid w:val="0022711B"/>
    <w:rsid w:val="00230A69"/>
    <w:rsid w:val="00232A66"/>
    <w:rsid w:val="00233A50"/>
    <w:rsid w:val="00235221"/>
    <w:rsid w:val="002369C4"/>
    <w:rsid w:val="002406EC"/>
    <w:rsid w:val="00241A90"/>
    <w:rsid w:val="00241D00"/>
    <w:rsid w:val="00241E53"/>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6DD9"/>
    <w:rsid w:val="0028786F"/>
    <w:rsid w:val="00287A12"/>
    <w:rsid w:val="00287B41"/>
    <w:rsid w:val="002902D9"/>
    <w:rsid w:val="002930C7"/>
    <w:rsid w:val="002934C0"/>
    <w:rsid w:val="002943A4"/>
    <w:rsid w:val="00294B58"/>
    <w:rsid w:val="00295FEC"/>
    <w:rsid w:val="0029673F"/>
    <w:rsid w:val="00297693"/>
    <w:rsid w:val="002A05F3"/>
    <w:rsid w:val="002A062F"/>
    <w:rsid w:val="002A0829"/>
    <w:rsid w:val="002A2F3C"/>
    <w:rsid w:val="002A3C41"/>
    <w:rsid w:val="002A6F90"/>
    <w:rsid w:val="002A7266"/>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8BC"/>
    <w:rsid w:val="00310B0A"/>
    <w:rsid w:val="0031175D"/>
    <w:rsid w:val="00312459"/>
    <w:rsid w:val="003142A3"/>
    <w:rsid w:val="0031486D"/>
    <w:rsid w:val="003153C7"/>
    <w:rsid w:val="00316012"/>
    <w:rsid w:val="00316798"/>
    <w:rsid w:val="00317BA6"/>
    <w:rsid w:val="0032155D"/>
    <w:rsid w:val="00322DBA"/>
    <w:rsid w:val="00322E01"/>
    <w:rsid w:val="003230AD"/>
    <w:rsid w:val="00324F09"/>
    <w:rsid w:val="00325BE6"/>
    <w:rsid w:val="003264F1"/>
    <w:rsid w:val="00327CA6"/>
    <w:rsid w:val="00331F83"/>
    <w:rsid w:val="003338BB"/>
    <w:rsid w:val="003349DF"/>
    <w:rsid w:val="003356B7"/>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4E3"/>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E66"/>
    <w:rsid w:val="003A11FD"/>
    <w:rsid w:val="003A376F"/>
    <w:rsid w:val="003A3BC8"/>
    <w:rsid w:val="003A5197"/>
    <w:rsid w:val="003A69B6"/>
    <w:rsid w:val="003A6AB2"/>
    <w:rsid w:val="003B00A0"/>
    <w:rsid w:val="003B020E"/>
    <w:rsid w:val="003B2E77"/>
    <w:rsid w:val="003B2F4F"/>
    <w:rsid w:val="003B3C85"/>
    <w:rsid w:val="003B3D1E"/>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254E"/>
    <w:rsid w:val="0046289C"/>
    <w:rsid w:val="00465AD0"/>
    <w:rsid w:val="00466150"/>
    <w:rsid w:val="00470732"/>
    <w:rsid w:val="00470CA4"/>
    <w:rsid w:val="00472142"/>
    <w:rsid w:val="004745FD"/>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11E"/>
    <w:rsid w:val="004C2A9C"/>
    <w:rsid w:val="004C531F"/>
    <w:rsid w:val="004C6763"/>
    <w:rsid w:val="004C6ACF"/>
    <w:rsid w:val="004C738E"/>
    <w:rsid w:val="004D0285"/>
    <w:rsid w:val="004D0CAD"/>
    <w:rsid w:val="004D13B0"/>
    <w:rsid w:val="004D1D31"/>
    <w:rsid w:val="004D1D8B"/>
    <w:rsid w:val="004D63EC"/>
    <w:rsid w:val="004D64F8"/>
    <w:rsid w:val="004D6700"/>
    <w:rsid w:val="004E032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43A"/>
    <w:rsid w:val="00532701"/>
    <w:rsid w:val="00533891"/>
    <w:rsid w:val="005348AA"/>
    <w:rsid w:val="00535204"/>
    <w:rsid w:val="00535C60"/>
    <w:rsid w:val="00535E57"/>
    <w:rsid w:val="00536771"/>
    <w:rsid w:val="00536988"/>
    <w:rsid w:val="00536E09"/>
    <w:rsid w:val="005372E9"/>
    <w:rsid w:val="00537640"/>
    <w:rsid w:val="005408D6"/>
    <w:rsid w:val="00541980"/>
    <w:rsid w:val="00541BDE"/>
    <w:rsid w:val="00541E59"/>
    <w:rsid w:val="00543E55"/>
    <w:rsid w:val="00543F19"/>
    <w:rsid w:val="005446D6"/>
    <w:rsid w:val="0054498A"/>
    <w:rsid w:val="00545ABE"/>
    <w:rsid w:val="00546BB4"/>
    <w:rsid w:val="0055150E"/>
    <w:rsid w:val="00551721"/>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5369"/>
    <w:rsid w:val="0057683F"/>
    <w:rsid w:val="00576F70"/>
    <w:rsid w:val="00577C3B"/>
    <w:rsid w:val="00581C35"/>
    <w:rsid w:val="00582750"/>
    <w:rsid w:val="005827C3"/>
    <w:rsid w:val="00582896"/>
    <w:rsid w:val="00582D40"/>
    <w:rsid w:val="00582EAC"/>
    <w:rsid w:val="00583173"/>
    <w:rsid w:val="00583C24"/>
    <w:rsid w:val="00585FEA"/>
    <w:rsid w:val="005860AC"/>
    <w:rsid w:val="0058659A"/>
    <w:rsid w:val="00591AC5"/>
    <w:rsid w:val="005932C8"/>
    <w:rsid w:val="00593672"/>
    <w:rsid w:val="00593984"/>
    <w:rsid w:val="0059430C"/>
    <w:rsid w:val="00595C4B"/>
    <w:rsid w:val="005976E8"/>
    <w:rsid w:val="0059773D"/>
    <w:rsid w:val="005A12D0"/>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4A95"/>
    <w:rsid w:val="005D6713"/>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3C86"/>
    <w:rsid w:val="005F5128"/>
    <w:rsid w:val="005F59D9"/>
    <w:rsid w:val="005F698B"/>
    <w:rsid w:val="005F76E9"/>
    <w:rsid w:val="00601CC9"/>
    <w:rsid w:val="006031F6"/>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FCE"/>
    <w:rsid w:val="006278F1"/>
    <w:rsid w:val="00631719"/>
    <w:rsid w:val="00632F1F"/>
    <w:rsid w:val="00635A8A"/>
    <w:rsid w:val="00635AB9"/>
    <w:rsid w:val="00636B44"/>
    <w:rsid w:val="00640010"/>
    <w:rsid w:val="0064130B"/>
    <w:rsid w:val="0064146B"/>
    <w:rsid w:val="00642055"/>
    <w:rsid w:val="006426F3"/>
    <w:rsid w:val="00643BB7"/>
    <w:rsid w:val="00644664"/>
    <w:rsid w:val="00644B01"/>
    <w:rsid w:val="00646281"/>
    <w:rsid w:val="006462C1"/>
    <w:rsid w:val="00651D13"/>
    <w:rsid w:val="0065339E"/>
    <w:rsid w:val="006542BF"/>
    <w:rsid w:val="0065488E"/>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55B"/>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12A"/>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5E26"/>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1850"/>
    <w:rsid w:val="00802E9A"/>
    <w:rsid w:val="00804551"/>
    <w:rsid w:val="00805B03"/>
    <w:rsid w:val="00807E74"/>
    <w:rsid w:val="008103FE"/>
    <w:rsid w:val="00811981"/>
    <w:rsid w:val="0081245E"/>
    <w:rsid w:val="00812CCD"/>
    <w:rsid w:val="00814809"/>
    <w:rsid w:val="00816537"/>
    <w:rsid w:val="008218D6"/>
    <w:rsid w:val="00821AE8"/>
    <w:rsid w:val="00822081"/>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1E2"/>
    <w:rsid w:val="008C188F"/>
    <w:rsid w:val="008C1FF7"/>
    <w:rsid w:val="008C32D5"/>
    <w:rsid w:val="008C362C"/>
    <w:rsid w:val="008C3743"/>
    <w:rsid w:val="008C4329"/>
    <w:rsid w:val="008C4952"/>
    <w:rsid w:val="008C5B59"/>
    <w:rsid w:val="008C6425"/>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07F23"/>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678"/>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3B8"/>
    <w:rsid w:val="009835D9"/>
    <w:rsid w:val="00985306"/>
    <w:rsid w:val="0098614D"/>
    <w:rsid w:val="0098652B"/>
    <w:rsid w:val="00986C0C"/>
    <w:rsid w:val="00986CFF"/>
    <w:rsid w:val="009901D5"/>
    <w:rsid w:val="00990BC7"/>
    <w:rsid w:val="00991147"/>
    <w:rsid w:val="009934B9"/>
    <w:rsid w:val="00993749"/>
    <w:rsid w:val="00994AE2"/>
    <w:rsid w:val="00994E20"/>
    <w:rsid w:val="009952E9"/>
    <w:rsid w:val="00995C22"/>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75DB"/>
    <w:rsid w:val="009D01C2"/>
    <w:rsid w:val="009D123E"/>
    <w:rsid w:val="009D150B"/>
    <w:rsid w:val="009D192B"/>
    <w:rsid w:val="009D193B"/>
    <w:rsid w:val="009D239B"/>
    <w:rsid w:val="009D2E6B"/>
    <w:rsid w:val="009D361F"/>
    <w:rsid w:val="009D3A4F"/>
    <w:rsid w:val="009D534A"/>
    <w:rsid w:val="009D5459"/>
    <w:rsid w:val="009E051A"/>
    <w:rsid w:val="009E3C41"/>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1E6"/>
    <w:rsid w:val="00A0477C"/>
    <w:rsid w:val="00A0509F"/>
    <w:rsid w:val="00A05A6B"/>
    <w:rsid w:val="00A07106"/>
    <w:rsid w:val="00A10BDE"/>
    <w:rsid w:val="00A1136E"/>
    <w:rsid w:val="00A118D1"/>
    <w:rsid w:val="00A12779"/>
    <w:rsid w:val="00A131A8"/>
    <w:rsid w:val="00A1368F"/>
    <w:rsid w:val="00A13935"/>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42CD"/>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4FA9"/>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1E1A"/>
    <w:rsid w:val="00AB3BD1"/>
    <w:rsid w:val="00AB443B"/>
    <w:rsid w:val="00AB4AFA"/>
    <w:rsid w:val="00AB51CF"/>
    <w:rsid w:val="00AB59A9"/>
    <w:rsid w:val="00AB5DB5"/>
    <w:rsid w:val="00AB6470"/>
    <w:rsid w:val="00AB7E31"/>
    <w:rsid w:val="00AC0322"/>
    <w:rsid w:val="00AC1F7B"/>
    <w:rsid w:val="00AC2D32"/>
    <w:rsid w:val="00AC3D02"/>
    <w:rsid w:val="00AC4349"/>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96C"/>
    <w:rsid w:val="00AF3B3F"/>
    <w:rsid w:val="00AF3EBA"/>
    <w:rsid w:val="00AF41C3"/>
    <w:rsid w:val="00AF499C"/>
    <w:rsid w:val="00AF4A9B"/>
    <w:rsid w:val="00AF59ED"/>
    <w:rsid w:val="00AF7393"/>
    <w:rsid w:val="00B0128C"/>
    <w:rsid w:val="00B02BFC"/>
    <w:rsid w:val="00B03D58"/>
    <w:rsid w:val="00B03E15"/>
    <w:rsid w:val="00B03F2F"/>
    <w:rsid w:val="00B059AF"/>
    <w:rsid w:val="00B05A70"/>
    <w:rsid w:val="00B064D7"/>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A0F"/>
    <w:rsid w:val="00B80DC6"/>
    <w:rsid w:val="00B80E49"/>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1C50"/>
    <w:rsid w:val="00BD2553"/>
    <w:rsid w:val="00BD265B"/>
    <w:rsid w:val="00BD2EAF"/>
    <w:rsid w:val="00BD3756"/>
    <w:rsid w:val="00BD3830"/>
    <w:rsid w:val="00BD41C2"/>
    <w:rsid w:val="00BD472D"/>
    <w:rsid w:val="00BD4908"/>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51D4"/>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0F14"/>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6F77"/>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EF3"/>
    <w:rsid w:val="00C910E9"/>
    <w:rsid w:val="00C93857"/>
    <w:rsid w:val="00C939A8"/>
    <w:rsid w:val="00C93C88"/>
    <w:rsid w:val="00C948FD"/>
    <w:rsid w:val="00C95851"/>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B63DA"/>
    <w:rsid w:val="00CC14A5"/>
    <w:rsid w:val="00CC2320"/>
    <w:rsid w:val="00CC2796"/>
    <w:rsid w:val="00CC2CB6"/>
    <w:rsid w:val="00CC2FBA"/>
    <w:rsid w:val="00CC3816"/>
    <w:rsid w:val="00CC3CAD"/>
    <w:rsid w:val="00CC532E"/>
    <w:rsid w:val="00CC77FF"/>
    <w:rsid w:val="00CC780F"/>
    <w:rsid w:val="00CC7F9E"/>
    <w:rsid w:val="00CD02B7"/>
    <w:rsid w:val="00CD0E9E"/>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8B6"/>
    <w:rsid w:val="00D07514"/>
    <w:rsid w:val="00D12C49"/>
    <w:rsid w:val="00D1331A"/>
    <w:rsid w:val="00D1334E"/>
    <w:rsid w:val="00D133A7"/>
    <w:rsid w:val="00D1382A"/>
    <w:rsid w:val="00D1496F"/>
    <w:rsid w:val="00D151F9"/>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34FE"/>
    <w:rsid w:val="00D448A4"/>
    <w:rsid w:val="00D4537D"/>
    <w:rsid w:val="00D458D4"/>
    <w:rsid w:val="00D46838"/>
    <w:rsid w:val="00D469AD"/>
    <w:rsid w:val="00D46AB4"/>
    <w:rsid w:val="00D46E60"/>
    <w:rsid w:val="00D47A5E"/>
    <w:rsid w:val="00D529A9"/>
    <w:rsid w:val="00D52E2D"/>
    <w:rsid w:val="00D52F34"/>
    <w:rsid w:val="00D55084"/>
    <w:rsid w:val="00D579EB"/>
    <w:rsid w:val="00D60CE0"/>
    <w:rsid w:val="00D614D5"/>
    <w:rsid w:val="00D6339A"/>
    <w:rsid w:val="00D64BFB"/>
    <w:rsid w:val="00D67200"/>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2595"/>
    <w:rsid w:val="00D93D2F"/>
    <w:rsid w:val="00D95377"/>
    <w:rsid w:val="00D96E0E"/>
    <w:rsid w:val="00D96FF5"/>
    <w:rsid w:val="00DA1289"/>
    <w:rsid w:val="00DA2184"/>
    <w:rsid w:val="00DA29D5"/>
    <w:rsid w:val="00DA2AA6"/>
    <w:rsid w:val="00DA3AEF"/>
    <w:rsid w:val="00DA4A95"/>
    <w:rsid w:val="00DA4BED"/>
    <w:rsid w:val="00DA5C7E"/>
    <w:rsid w:val="00DA5E2A"/>
    <w:rsid w:val="00DA618C"/>
    <w:rsid w:val="00DB0E60"/>
    <w:rsid w:val="00DB1C5D"/>
    <w:rsid w:val="00DB218A"/>
    <w:rsid w:val="00DB284E"/>
    <w:rsid w:val="00DB322D"/>
    <w:rsid w:val="00DB38B6"/>
    <w:rsid w:val="00DB42ED"/>
    <w:rsid w:val="00DB4D35"/>
    <w:rsid w:val="00DB5B57"/>
    <w:rsid w:val="00DB6FED"/>
    <w:rsid w:val="00DC05E2"/>
    <w:rsid w:val="00DC0A91"/>
    <w:rsid w:val="00DC1357"/>
    <w:rsid w:val="00DC27AB"/>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32E9"/>
    <w:rsid w:val="00E344CB"/>
    <w:rsid w:val="00E34DD8"/>
    <w:rsid w:val="00E350FD"/>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2ACA"/>
    <w:rsid w:val="00E63645"/>
    <w:rsid w:val="00E63679"/>
    <w:rsid w:val="00E636FF"/>
    <w:rsid w:val="00E64621"/>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67D9"/>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2410"/>
    <w:rsid w:val="00F934BB"/>
    <w:rsid w:val="00F93893"/>
    <w:rsid w:val="00F950EB"/>
    <w:rsid w:val="00F977B3"/>
    <w:rsid w:val="00F97859"/>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D54"/>
    <w:rsid w:val="00FC1B87"/>
    <w:rsid w:val="00FC2C86"/>
    <w:rsid w:val="00FC34C6"/>
    <w:rsid w:val="00FC4F8A"/>
    <w:rsid w:val="00FC647A"/>
    <w:rsid w:val="00FC74CA"/>
    <w:rsid w:val="00FD18E6"/>
    <w:rsid w:val="00FD1E9F"/>
    <w:rsid w:val="00FD2291"/>
    <w:rsid w:val="00FD298F"/>
    <w:rsid w:val="00FD33DD"/>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7F2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customStyle="1" w:styleId="TableCaption">
    <w:name w:val="Table Caption"/>
    <w:basedOn w:val="Normal"/>
    <w:next w:val="Normal"/>
    <w:uiPriority w:val="13"/>
    <w:qFormat/>
    <w:rsid w:val="00995C22"/>
    <w:pPr>
      <w:numPr>
        <w:numId w:val="32"/>
      </w:numPr>
      <w:tabs>
        <w:tab w:val="left" w:pos="1009"/>
      </w:tabs>
      <w:overflowPunct/>
      <w:autoSpaceDE/>
      <w:autoSpaceDN/>
      <w:adjustRightInd/>
      <w:spacing w:before="120" w:after="200" w:line="276" w:lineRule="auto"/>
      <w:jc w:val="center"/>
      <w:textAlignment w:val="auto"/>
    </w:pPr>
    <w:rPr>
      <w:rFonts w:ascii="Arial" w:eastAsia="SimSun" w:hAnsi="Arial" w:cs="Arial"/>
      <w:b/>
      <w:color w:val="auto"/>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038842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9036185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2431934">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EB47308-34D0-4E42-A111-B5D6620F4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1334</Words>
  <Characters>7608</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Implementing the newly added objective corresponding to KI#6 for eNS_Ph2</vt:lpstr>
      <vt:lpstr/>
    </vt:vector>
  </TitlesOfParts>
  <Company>Huawei Technologies</Company>
  <LinksUpToDate>false</LinksUpToDate>
  <CharactersWithSpaces>8925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KI#6 eNS2: Regarding handling of UEs not supporting SNSRG</dc:title>
  <dc:subject/>
  <dc:creator>Patrice Hédé</dc:creator>
  <cp:keywords/>
  <cp:lastModifiedBy>Patrice Hédé, Huawei</cp:lastModifiedBy>
  <cp:revision>4</cp:revision>
  <cp:lastPrinted>2018-08-13T16:59:00Z</cp:lastPrinted>
  <dcterms:created xsi:type="dcterms:W3CDTF">2021-05-10T14:29:00Z</dcterms:created>
  <dcterms:modified xsi:type="dcterms:W3CDTF">2021-05-10T16:02:00Z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(3)siddmW4fz8KfrPR4nS5wJl4kUMPYYbXGIfKZ/AlHsA+qLo/JJK3wf4tXVmwH2POHt/zbxWG5
YuEquggluaIhlGm0mWN1ujyjZ6lF8SGgrga0eLvyavzMrix9OKjZtNEucHMozDyVzuN/k3ky
dBX5JV2+MAq+djEEQ11Qb0eT3ElJTMkt1aalNfgdO2uB0G7g3GpZ/Z34Ge093CY92F1Ku6w+
M3kql18F8gqfWZmSw1</vt:lpwstr>
  </property>
  <property fmtid="{D5CDD505-2E9C-101B-9397-08002B2CF9AE}" pid="9" name="_2015_ms_pID_7253431">
    <vt:lpwstr>Pl3NFBVDU3xf0aSvB8/QzraxszTCFyOwMKiV/iAJBkwrU8vAAXCd3l
708EgmK9reFXH2JF2l+7ESgPkoZPH2AUw1plxBJibs6GV6KGzfETd6DLEjzpHQ+V7HVIfen4
50gQWnuqJ3N0NUHfRvwMkE9/1iyLoRGrD3a3HKlmB6iqaGl5Ow1TDu9mEaGEvZ7NBQasOIih
CVqD8wgc3Q5PSjBoZa1AQ63/TqcWJH2TKIxi</vt:lpwstr>
  </property>
  <property fmtid="{D5CDD505-2E9C-101B-9397-08002B2CF9AE}" pid="10" name="_2015_ms_pID_7253432">
    <vt:lpwstr>hQ==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1620662496</vt:lpwstr>
  </property>
</Properties>
</file>